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" w:line="360" w:lineRule="auto"/>
        <w:jc w:val="center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PROGRAMA DEL CURSO DE POSGRADO</w:t>
      </w:r>
    </w:p>
    <w:p w:rsidR="00000000" w:rsidDel="00000000" w:rsidP="00000000" w:rsidRDefault="00000000" w:rsidRPr="00000000" w14:paraId="00000002">
      <w:pPr>
        <w:spacing w:before="5"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“Ecología de Bosques y vegetación de montaña”</w:t>
      </w:r>
    </w:p>
    <w:p w:rsidR="00000000" w:rsidDel="00000000" w:rsidP="00000000" w:rsidRDefault="00000000" w:rsidRPr="00000000" w14:paraId="00000003">
      <w:pPr>
        <w:spacing w:before="4" w:line="360" w:lineRule="auto"/>
        <w:jc w:val="center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" w:line="36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Ecología de bosques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: Estructura y diversidad de los bosques de montaña. Forzantes de cambios globales: cambio climático y cambio del uso del suelo. Grupos funcionales de árboles. Bosques maduros y sucesionales. Dinámica de la acumulación de biomasa/carbono. Invasiones de especies exóticas.</w:t>
      </w:r>
    </w:p>
    <w:p w:rsidR="00000000" w:rsidDel="00000000" w:rsidP="00000000" w:rsidRDefault="00000000" w:rsidRPr="00000000" w14:paraId="00000005">
      <w:pPr>
        <w:spacing w:after="160" w:line="36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Ecología de vegetación de montaña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: Estructura y diversidad de las comunidades vegetales de montaña (pastizales de altura y Puna). Forzantes de cambios globales. Grupos funcionales de plantas. Dinámica de la vegetación, ciclos anuales y cambios a mediano y largo plazo (décadas y siglos).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Herramientas para el monitoreo de la vegetación a largo plazo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: Parcelas permanentes. Muestreos de vegetación altoandina. Redes de monitoreo a largo plazo: RedSPP y GLORIA. Sensores remotos e imágenes satelitales. </w:t>
      </w:r>
    </w:p>
    <w:p w:rsidR="00000000" w:rsidDel="00000000" w:rsidP="00000000" w:rsidRDefault="00000000" w:rsidRPr="00000000" w14:paraId="00000007">
      <w:pPr>
        <w:spacing w:before="4" w:line="360" w:lineRule="auto"/>
        <w:rPr/>
      </w:pPr>
      <w:r w:rsidDel="00000000" w:rsidR="00000000" w:rsidRPr="00000000">
        <w:rPr>
          <w:rFonts w:ascii="Calibri" w:cs="Calibri" w:eastAsia="Calibri" w:hAnsi="Calibri"/>
          <w:i w:val="1"/>
          <w:sz w:val="23"/>
          <w:szCs w:val="23"/>
          <w:rtl w:val="0"/>
        </w:rPr>
        <w:t xml:space="preserve">Conservación y Manejo de bosques nativos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: Fragmentación, degradación y cambio de uso de la tierra. Manejo y restauración de bosques. Legislación nacional (OTBN), mecanismos internacionales y nacionales (e.g., Agenda 2030, REDD+, Bonos de carbono).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